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712108" w14:textId="77777777" w:rsidR="003A3F14" w:rsidRDefault="00F85A34" w:rsidP="003A3F14">
      <w:pPr>
        <w:spacing w:after="0"/>
        <w:rPr>
          <w:rFonts w:ascii="ITCLubalinGraph-Demi" w:hAnsi="ITCLubalinGraph-Demi"/>
          <w:b/>
          <w:color w:val="002060"/>
          <w:sz w:val="44"/>
          <w:szCs w:val="44"/>
        </w:rPr>
      </w:pPr>
      <w:r>
        <w:rPr>
          <w:noProof/>
        </w:rPr>
        <w:pict w14:anchorId="1402B6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81.8pt;margin-top:-46.85pt;width:200.1pt;height:165.6pt;z-index:251659264;mso-position-horizontal-relative:text;mso-position-vertical-relative:text;mso-width-relative:page;mso-height-relative:page">
            <v:imagedata r:id="rId5" o:title="Logo radio transparant"/>
          </v:shape>
        </w:pict>
      </w:r>
    </w:p>
    <w:p w14:paraId="730CFC8E" w14:textId="77777777" w:rsidR="003A3F14" w:rsidRDefault="003A3F14" w:rsidP="003A3F14">
      <w:pPr>
        <w:spacing w:after="0"/>
        <w:rPr>
          <w:rFonts w:ascii="ITCLubalinGraph-Demi" w:hAnsi="ITCLubalinGraph-Demi"/>
          <w:b/>
          <w:color w:val="002060"/>
          <w:sz w:val="44"/>
          <w:szCs w:val="44"/>
        </w:rPr>
      </w:pPr>
    </w:p>
    <w:p w14:paraId="50746316" w14:textId="77777777" w:rsidR="00F85A34" w:rsidRPr="00F85A34" w:rsidRDefault="00F85A34" w:rsidP="00F85A34">
      <w:pPr>
        <w:rPr>
          <w:rFonts w:cstheme="majorHAnsi"/>
          <w:b/>
          <w:sz w:val="36"/>
          <w:szCs w:val="36"/>
          <w:lang w:val="en-US"/>
        </w:rPr>
      </w:pPr>
      <w:r w:rsidRPr="00F85A34">
        <w:rPr>
          <w:rFonts w:cstheme="majorHAnsi"/>
          <w:b/>
          <w:sz w:val="36"/>
          <w:szCs w:val="36"/>
          <w:lang w:val="en-US"/>
        </w:rPr>
        <w:t>Project plan guidelines</w:t>
      </w:r>
    </w:p>
    <w:p w14:paraId="1C0A1E55" w14:textId="77777777" w:rsidR="00F85A34" w:rsidRPr="00F85A34" w:rsidRDefault="00F85A34" w:rsidP="00F85A34">
      <w:pPr>
        <w:rPr>
          <w:rFonts w:cstheme="majorHAnsi"/>
          <w:b/>
          <w:sz w:val="36"/>
          <w:szCs w:val="36"/>
          <w:lang w:val="en-US"/>
        </w:rPr>
      </w:pPr>
      <w:r w:rsidRPr="00F85A34">
        <w:rPr>
          <w:rFonts w:cstheme="majorHAnsi"/>
          <w:b/>
          <w:sz w:val="36"/>
          <w:szCs w:val="36"/>
          <w:lang w:val="en-US"/>
        </w:rPr>
        <w:t>Cultural Education with Quality</w:t>
      </w:r>
    </w:p>
    <w:p w14:paraId="1A79B6EE" w14:textId="6009A4CA" w:rsidR="00F85A34" w:rsidRPr="00F85A34" w:rsidRDefault="00F85A34" w:rsidP="00F85A34">
      <w:pPr>
        <w:rPr>
          <w:rFonts w:cstheme="majorHAnsi"/>
          <w:b/>
          <w:sz w:val="36"/>
          <w:szCs w:val="36"/>
          <w:lang w:val="en-US"/>
        </w:rPr>
      </w:pPr>
      <w:r w:rsidRPr="00F85A34">
        <w:rPr>
          <w:rFonts w:cstheme="majorHAnsi"/>
          <w:b/>
          <w:sz w:val="36"/>
          <w:szCs w:val="36"/>
          <w:lang w:val="en-US"/>
        </w:rPr>
        <w:t>2021-2</w:t>
      </w:r>
      <w:r>
        <w:rPr>
          <w:rFonts w:cstheme="majorHAnsi"/>
          <w:b/>
          <w:sz w:val="36"/>
          <w:szCs w:val="36"/>
          <w:lang w:val="en-US"/>
        </w:rPr>
        <w:t>024 Caribbean Netherlands</w:t>
      </w:r>
    </w:p>
    <w:p w14:paraId="4A6B77D1" w14:textId="77777777" w:rsidR="00F85A34" w:rsidRPr="00F85A34" w:rsidRDefault="00F85A34" w:rsidP="00F85A34">
      <w:pPr>
        <w:rPr>
          <w:rFonts w:asciiTheme="majorHAnsi" w:hAnsiTheme="majorHAnsi" w:cstheme="majorHAnsi"/>
          <w:lang w:val="en-US"/>
        </w:rPr>
      </w:pPr>
    </w:p>
    <w:p w14:paraId="17E05EFA" w14:textId="77777777" w:rsidR="00F85A34" w:rsidRPr="00F85A34" w:rsidRDefault="00F85A34" w:rsidP="00F85A34">
      <w:pPr>
        <w:rPr>
          <w:rFonts w:cstheme="majorHAnsi"/>
          <w:lang w:val="en-US"/>
        </w:rPr>
      </w:pPr>
      <w:r w:rsidRPr="00F85A34">
        <w:rPr>
          <w:rFonts w:cstheme="majorHAnsi"/>
          <w:lang w:val="en-US"/>
        </w:rPr>
        <w:t>A mandatory part of an application for Cultural Education with Quality 2021-2024 Caribbean Netherlands is the project plan. A project plan is a structured set-up of the goals, how you achieve these goals and what is needed for that. The lead party writes the project plan in consultation with the cooperation partners. This means that all parties know what the objectives are and what role they play. The project plan may contain a maximum of 7,500 words and is written according to the table of contents formulated here.</w:t>
      </w:r>
    </w:p>
    <w:p w14:paraId="15A84C54" w14:textId="77777777" w:rsidR="00F85A34" w:rsidRPr="00F85A34" w:rsidRDefault="00F85A34" w:rsidP="00F85A34">
      <w:pPr>
        <w:rPr>
          <w:rFonts w:cstheme="majorHAnsi"/>
          <w:lang w:val="en-US"/>
        </w:rPr>
      </w:pPr>
    </w:p>
    <w:p w14:paraId="612AA24B" w14:textId="7484EC22" w:rsidR="002C51ED" w:rsidRPr="00F85A34" w:rsidRDefault="00F85A34" w:rsidP="00F85A34">
      <w:pPr>
        <w:rPr>
          <w:rFonts w:cstheme="majorHAnsi"/>
          <w:lang w:val="en-US"/>
        </w:rPr>
      </w:pPr>
      <w:r w:rsidRPr="00F85A34">
        <w:rPr>
          <w:rFonts w:cstheme="majorHAnsi"/>
          <w:lang w:val="en-US"/>
        </w:rPr>
        <w:t>The project plan is read by the Fund in conjunction with the application form. In the application form you provide a brief answer to the questions asked by the Fund. You also enter the key figures of your intended performance and budget here. In the project plan you have more space for substantive explanation and a specified budget.</w:t>
      </w:r>
    </w:p>
    <w:p w14:paraId="3BA0F4E8" w14:textId="7E7F2AFB" w:rsidR="002C51ED" w:rsidRPr="00F85A34" w:rsidRDefault="00234AF4" w:rsidP="002C51ED">
      <w:pPr>
        <w:rPr>
          <w:rFonts w:asciiTheme="majorHAnsi" w:hAnsiTheme="majorHAnsi" w:cstheme="majorHAnsi"/>
          <w:lang w:val="en-US"/>
        </w:rPr>
      </w:pPr>
      <w:r w:rsidRPr="00234AF4">
        <w:rPr>
          <w:rFonts w:asciiTheme="majorHAnsi" w:hAnsiTheme="majorHAnsi" w:cstheme="majorHAnsi"/>
          <w:noProof/>
          <w:lang w:eastAsia="nl-NL"/>
        </w:rPr>
        <mc:AlternateContent>
          <mc:Choice Requires="wps">
            <w:drawing>
              <wp:anchor distT="45720" distB="45720" distL="114300" distR="114300" simplePos="0" relativeHeight="251661312" behindDoc="0" locked="0" layoutInCell="1" allowOverlap="1" wp14:anchorId="6FA0E6E0" wp14:editId="01709310">
                <wp:simplePos x="0" y="0"/>
                <wp:positionH relativeFrom="margin">
                  <wp:posOffset>394970</wp:posOffset>
                </wp:positionH>
                <wp:positionV relativeFrom="paragraph">
                  <wp:posOffset>184150</wp:posOffset>
                </wp:positionV>
                <wp:extent cx="4944110" cy="3679190"/>
                <wp:effectExtent l="0" t="0" r="27940" b="1651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4110" cy="3679190"/>
                        </a:xfrm>
                        <a:prstGeom prst="rect">
                          <a:avLst/>
                        </a:prstGeom>
                        <a:solidFill>
                          <a:srgbClr val="FFFFFF"/>
                        </a:solidFill>
                        <a:ln w="9525">
                          <a:solidFill>
                            <a:srgbClr val="000000"/>
                          </a:solidFill>
                          <a:miter lim="800000"/>
                          <a:headEnd/>
                          <a:tailEnd/>
                        </a:ln>
                      </wps:spPr>
                      <wps:txbx>
                        <w:txbxContent>
                          <w:p w14:paraId="31CFAFC2" w14:textId="77777777" w:rsidR="00F85A34" w:rsidRPr="00F85A34" w:rsidRDefault="00F85A34" w:rsidP="00F85A34">
                            <w:pPr>
                              <w:rPr>
                                <w:b/>
                                <w:i/>
                                <w:lang w:val="en-US"/>
                              </w:rPr>
                            </w:pPr>
                            <w:r w:rsidRPr="00F85A34">
                              <w:rPr>
                                <w:b/>
                                <w:i/>
                                <w:lang w:val="en-US"/>
                              </w:rPr>
                              <w:t>What can be applied for?</w:t>
                            </w:r>
                          </w:p>
                          <w:p w14:paraId="07967DF8" w14:textId="77777777" w:rsidR="00F85A34" w:rsidRPr="00F85A34" w:rsidRDefault="00F85A34" w:rsidP="00F85A34">
                            <w:pPr>
                              <w:rPr>
                                <w:i/>
                                <w:lang w:val="en-US"/>
                              </w:rPr>
                            </w:pPr>
                            <w:r w:rsidRPr="00F85A34">
                              <w:rPr>
                                <w:i/>
                                <w:lang w:val="en-US"/>
                              </w:rPr>
                              <w:t>An application for a multi-year subsidy is submitted to realize and sustainably strengthen the quality of cultural education. This is carried out through intensive collaboration between education and the cultural sector. The collaboration is based on an educational vision of cultural education and should focus on the cultural development of the child. Attention is also paid to increasing the equal opportunities for children. The way in which the goal is achieved is through:</w:t>
                            </w:r>
                          </w:p>
                          <w:p w14:paraId="336B5A6D" w14:textId="77777777" w:rsidR="00F85A34" w:rsidRPr="00F85A34" w:rsidRDefault="00F85A34" w:rsidP="00F85A34">
                            <w:pPr>
                              <w:rPr>
                                <w:i/>
                                <w:lang w:val="en-US"/>
                              </w:rPr>
                            </w:pPr>
                            <w:r w:rsidRPr="00F85A34">
                              <w:rPr>
                                <w:i/>
                                <w:lang w:val="en-US"/>
                              </w:rPr>
                              <w:t>a. the development and implementation of cultural educational activities and materials aimed at sustainably enhancing the quality of cultural education at the school. These activities and materials are developed together by education and the cultural environment. In doing so, a link will be sought with relevant curriculum innovations; and</w:t>
                            </w:r>
                          </w:p>
                          <w:p w14:paraId="3878DE71" w14:textId="77777777" w:rsidR="00F85A34" w:rsidRPr="00F85A34" w:rsidRDefault="00F85A34" w:rsidP="00F85A34">
                            <w:pPr>
                              <w:rPr>
                                <w:i/>
                                <w:lang w:val="en-US"/>
                              </w:rPr>
                            </w:pPr>
                            <w:r w:rsidRPr="00F85A34">
                              <w:rPr>
                                <w:i/>
                                <w:lang w:val="en-US"/>
                              </w:rPr>
                              <w:t>b. increasing the professionalization of teachers, cultural partners and lead actors with regard to cultural education.</w:t>
                            </w:r>
                          </w:p>
                          <w:p w14:paraId="20687403" w14:textId="0FFA5C89" w:rsidR="00234AF4" w:rsidRPr="00234AF4" w:rsidRDefault="00F85A34" w:rsidP="00F85A34">
                            <w:pPr>
                              <w:rPr>
                                <w:i/>
                              </w:rPr>
                            </w:pPr>
                            <w:r w:rsidRPr="00F85A34">
                              <w:rPr>
                                <w:i/>
                                <w:lang w:val="en-US"/>
                              </w:rPr>
                              <w:t xml:space="preserve">The primary target group for this scheme is primary education and the cultural field. </w:t>
                            </w:r>
                            <w:proofErr w:type="spellStart"/>
                            <w:r w:rsidRPr="00F85A34">
                              <w:rPr>
                                <w:i/>
                              </w:rPr>
                              <w:t>Secondary</w:t>
                            </w:r>
                            <w:proofErr w:type="spellEnd"/>
                            <w:r w:rsidRPr="00F85A34">
                              <w:rPr>
                                <w:i/>
                              </w:rPr>
                              <w:t xml:space="preserve"> </w:t>
                            </w:r>
                            <w:proofErr w:type="spellStart"/>
                            <w:r w:rsidRPr="00F85A34">
                              <w:rPr>
                                <w:i/>
                              </w:rPr>
                              <w:t>education</w:t>
                            </w:r>
                            <w:proofErr w:type="spellEnd"/>
                            <w:r w:rsidRPr="00F85A34">
                              <w:rPr>
                                <w:i/>
                              </w:rPr>
                              <w:t xml:space="preserve"> </w:t>
                            </w:r>
                            <w:proofErr w:type="spellStart"/>
                            <w:r w:rsidRPr="00F85A34">
                              <w:rPr>
                                <w:i/>
                              </w:rPr>
                              <w:t>can</w:t>
                            </w:r>
                            <w:proofErr w:type="spellEnd"/>
                            <w:r w:rsidRPr="00F85A34">
                              <w:rPr>
                                <w:i/>
                              </w:rPr>
                              <w:t xml:space="preserve">, </w:t>
                            </w:r>
                            <w:proofErr w:type="spellStart"/>
                            <w:r w:rsidRPr="00F85A34">
                              <w:rPr>
                                <w:i/>
                              </w:rPr>
                              <w:t>however</w:t>
                            </w:r>
                            <w:proofErr w:type="spellEnd"/>
                            <w:r w:rsidRPr="00F85A34">
                              <w:rPr>
                                <w:i/>
                              </w:rPr>
                              <w:t xml:space="preserve">, </w:t>
                            </w:r>
                            <w:proofErr w:type="spellStart"/>
                            <w:r w:rsidRPr="00F85A34">
                              <w:rPr>
                                <w:i/>
                              </w:rPr>
                              <w:t>be</w:t>
                            </w:r>
                            <w:proofErr w:type="spellEnd"/>
                            <w:r w:rsidRPr="00F85A34">
                              <w:rPr>
                                <w:i/>
                              </w:rPr>
                              <w:t xml:space="preserve"> a cooperation partner.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A0E6E0" id="_x0000_t202" coordsize="21600,21600" o:spt="202" path="m,l,21600r21600,l21600,xe">
                <v:stroke joinstyle="miter"/>
                <v:path gradientshapeok="t" o:connecttype="rect"/>
              </v:shapetype>
              <v:shape id="Tekstvak 2" o:spid="_x0000_s1026" type="#_x0000_t202" style="position:absolute;margin-left:31.1pt;margin-top:14.5pt;width:389.3pt;height:289.7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">
                <v:textbox>
                  <w:txbxContent>
                    <w:p w14:paraId="31CFAFC2" w14:textId="77777777" w:rsidR="00F85A34" w:rsidRPr="00F85A34" w:rsidRDefault="00F85A34" w:rsidP="00F85A34">
                      <w:pPr>
                        <w:rPr>
                          <w:b/>
                          <w:i/>
                          <w:lang w:val="en-US"/>
                        </w:rPr>
                      </w:pPr>
                      <w:r w:rsidRPr="00F85A34">
                        <w:rPr>
                          <w:b/>
                          <w:i/>
                          <w:lang w:val="en-US"/>
                        </w:rPr>
                        <w:t>What can be applied for?</w:t>
                      </w:r>
                    </w:p>
                    <w:p w14:paraId="07967DF8" w14:textId="77777777" w:rsidR="00F85A34" w:rsidRPr="00F85A34" w:rsidRDefault="00F85A34" w:rsidP="00F85A34">
                      <w:pPr>
                        <w:rPr>
                          <w:i/>
                          <w:lang w:val="en-US"/>
                        </w:rPr>
                      </w:pPr>
                      <w:r w:rsidRPr="00F85A34">
                        <w:rPr>
                          <w:i/>
                          <w:lang w:val="en-US"/>
                        </w:rPr>
                        <w:t>An application for a multi-year subsidy is submitted to realize and sustainably strengthen the quality of cultural education. This is carried out through intensive collaboration between education and the cultural sector. The collaboration is based on an educational vision of cultural education and should focus on the cultural development of the child. Attention is also paid to increasing the equal opportunities for children. The way in which the goal is achieved is through:</w:t>
                      </w:r>
                    </w:p>
                    <w:p w14:paraId="336B5A6D" w14:textId="77777777" w:rsidR="00F85A34" w:rsidRPr="00F85A34" w:rsidRDefault="00F85A34" w:rsidP="00F85A34">
                      <w:pPr>
                        <w:rPr>
                          <w:i/>
                          <w:lang w:val="en-US"/>
                        </w:rPr>
                      </w:pPr>
                      <w:r w:rsidRPr="00F85A34">
                        <w:rPr>
                          <w:i/>
                          <w:lang w:val="en-US"/>
                        </w:rPr>
                        <w:t>a. the development and implementation of cultural educational activities and materials aimed at sustainably enhancing the quality of cultural education at the school. These activities and materials are developed together by education and the cultural environment. In doing so, a link will be sought with relevant curriculum innovations; and</w:t>
                      </w:r>
                    </w:p>
                    <w:p w14:paraId="3878DE71" w14:textId="77777777" w:rsidR="00F85A34" w:rsidRPr="00F85A34" w:rsidRDefault="00F85A34" w:rsidP="00F85A34">
                      <w:pPr>
                        <w:rPr>
                          <w:i/>
                          <w:lang w:val="en-US"/>
                        </w:rPr>
                      </w:pPr>
                      <w:r w:rsidRPr="00F85A34">
                        <w:rPr>
                          <w:i/>
                          <w:lang w:val="en-US"/>
                        </w:rPr>
                        <w:t>b. increasing the professionalization of teachers, cultural partners and lead actors with regard to cultural education.</w:t>
                      </w:r>
                    </w:p>
                    <w:p w14:paraId="20687403" w14:textId="0FFA5C89" w:rsidR="00234AF4" w:rsidRPr="00234AF4" w:rsidRDefault="00F85A34" w:rsidP="00F85A34">
                      <w:pPr>
                        <w:rPr>
                          <w:i/>
                        </w:rPr>
                      </w:pPr>
                      <w:r w:rsidRPr="00F85A34">
                        <w:rPr>
                          <w:i/>
                          <w:lang w:val="en-US"/>
                        </w:rPr>
                        <w:t xml:space="preserve">The primary target group for this scheme is primary education and the cultural field. </w:t>
                      </w:r>
                      <w:proofErr w:type="spellStart"/>
                      <w:r w:rsidRPr="00F85A34">
                        <w:rPr>
                          <w:i/>
                        </w:rPr>
                        <w:t>Secondary</w:t>
                      </w:r>
                      <w:proofErr w:type="spellEnd"/>
                      <w:r w:rsidRPr="00F85A34">
                        <w:rPr>
                          <w:i/>
                        </w:rPr>
                        <w:t xml:space="preserve"> </w:t>
                      </w:r>
                      <w:proofErr w:type="spellStart"/>
                      <w:r w:rsidRPr="00F85A34">
                        <w:rPr>
                          <w:i/>
                        </w:rPr>
                        <w:t>education</w:t>
                      </w:r>
                      <w:proofErr w:type="spellEnd"/>
                      <w:r w:rsidRPr="00F85A34">
                        <w:rPr>
                          <w:i/>
                        </w:rPr>
                        <w:t xml:space="preserve"> </w:t>
                      </w:r>
                      <w:proofErr w:type="spellStart"/>
                      <w:r w:rsidRPr="00F85A34">
                        <w:rPr>
                          <w:i/>
                        </w:rPr>
                        <w:t>can</w:t>
                      </w:r>
                      <w:proofErr w:type="spellEnd"/>
                      <w:r w:rsidRPr="00F85A34">
                        <w:rPr>
                          <w:i/>
                        </w:rPr>
                        <w:t xml:space="preserve">, </w:t>
                      </w:r>
                      <w:proofErr w:type="spellStart"/>
                      <w:r w:rsidRPr="00F85A34">
                        <w:rPr>
                          <w:i/>
                        </w:rPr>
                        <w:t>however</w:t>
                      </w:r>
                      <w:proofErr w:type="spellEnd"/>
                      <w:r w:rsidRPr="00F85A34">
                        <w:rPr>
                          <w:i/>
                        </w:rPr>
                        <w:t xml:space="preserve">, </w:t>
                      </w:r>
                      <w:proofErr w:type="spellStart"/>
                      <w:r w:rsidRPr="00F85A34">
                        <w:rPr>
                          <w:i/>
                        </w:rPr>
                        <w:t>be</w:t>
                      </w:r>
                      <w:proofErr w:type="spellEnd"/>
                      <w:r w:rsidRPr="00F85A34">
                        <w:rPr>
                          <w:i/>
                        </w:rPr>
                        <w:t xml:space="preserve"> a cooperation partner.</w:t>
                      </w:r>
                    </w:p>
                  </w:txbxContent>
                </v:textbox>
                <w10:wrap type="square" anchorx="margin"/>
              </v:shape>
            </w:pict>
          </mc:Fallback>
        </mc:AlternateContent>
      </w:r>
    </w:p>
    <w:p w14:paraId="28E04412" w14:textId="77777777" w:rsidR="002C51ED" w:rsidRPr="00F85A34" w:rsidRDefault="002C51ED" w:rsidP="002C51ED">
      <w:pPr>
        <w:rPr>
          <w:rFonts w:asciiTheme="majorHAnsi" w:hAnsiTheme="majorHAnsi" w:cstheme="majorHAnsi"/>
          <w:lang w:val="en-US"/>
        </w:rPr>
      </w:pPr>
    </w:p>
    <w:p w14:paraId="3EA02D92" w14:textId="77777777" w:rsidR="002C51ED" w:rsidRPr="00F85A34" w:rsidRDefault="002C51ED" w:rsidP="002C51ED">
      <w:pPr>
        <w:rPr>
          <w:rFonts w:asciiTheme="majorHAnsi" w:hAnsiTheme="majorHAnsi" w:cstheme="majorHAnsi"/>
          <w:lang w:val="en-US"/>
        </w:rPr>
      </w:pPr>
    </w:p>
    <w:p w14:paraId="22011B60" w14:textId="77777777" w:rsidR="002C51ED" w:rsidRPr="00F85A34" w:rsidRDefault="002C51ED" w:rsidP="002C51ED">
      <w:pPr>
        <w:rPr>
          <w:rFonts w:asciiTheme="majorHAnsi" w:hAnsiTheme="majorHAnsi" w:cstheme="majorHAnsi"/>
          <w:lang w:val="en-US"/>
        </w:rPr>
      </w:pPr>
    </w:p>
    <w:p w14:paraId="1F83E37B" w14:textId="77777777" w:rsidR="002C51ED" w:rsidRPr="00F85A34" w:rsidRDefault="002C51ED" w:rsidP="002C51ED">
      <w:pPr>
        <w:rPr>
          <w:rFonts w:asciiTheme="majorHAnsi" w:hAnsiTheme="majorHAnsi" w:cstheme="majorHAnsi"/>
          <w:lang w:val="en-US"/>
        </w:rPr>
      </w:pPr>
    </w:p>
    <w:p w14:paraId="21BAA29A" w14:textId="77777777" w:rsidR="002C51ED" w:rsidRPr="00F85A34" w:rsidRDefault="002C51ED" w:rsidP="002C51ED">
      <w:pPr>
        <w:rPr>
          <w:rFonts w:asciiTheme="majorHAnsi" w:hAnsiTheme="majorHAnsi" w:cstheme="majorHAnsi"/>
          <w:lang w:val="en-US"/>
        </w:rPr>
      </w:pPr>
    </w:p>
    <w:p w14:paraId="0FFCBB46" w14:textId="77777777" w:rsidR="002C51ED" w:rsidRPr="00F85A34" w:rsidRDefault="002C51ED" w:rsidP="002C51ED">
      <w:pPr>
        <w:rPr>
          <w:rFonts w:asciiTheme="majorHAnsi" w:hAnsiTheme="majorHAnsi" w:cstheme="majorHAnsi"/>
          <w:lang w:val="en-US"/>
        </w:rPr>
      </w:pPr>
    </w:p>
    <w:p w14:paraId="6DA93149" w14:textId="77777777" w:rsidR="002C51ED" w:rsidRPr="00F85A34" w:rsidRDefault="002C51ED" w:rsidP="002C51ED">
      <w:pPr>
        <w:rPr>
          <w:rFonts w:asciiTheme="majorHAnsi" w:hAnsiTheme="majorHAnsi" w:cstheme="majorHAnsi"/>
          <w:lang w:val="en-US"/>
        </w:rPr>
      </w:pPr>
    </w:p>
    <w:p w14:paraId="0ED4BAF4" w14:textId="77777777" w:rsidR="002C51ED" w:rsidRPr="00F85A34" w:rsidRDefault="002C51ED" w:rsidP="002C51ED">
      <w:pPr>
        <w:rPr>
          <w:rFonts w:asciiTheme="majorHAnsi" w:hAnsiTheme="majorHAnsi" w:cstheme="majorHAnsi"/>
          <w:lang w:val="en-US"/>
        </w:rPr>
      </w:pPr>
    </w:p>
    <w:p w14:paraId="1214D8D1" w14:textId="77777777" w:rsidR="002C51ED" w:rsidRPr="00F85A34" w:rsidRDefault="002C51ED" w:rsidP="002C51ED">
      <w:pPr>
        <w:rPr>
          <w:rFonts w:asciiTheme="majorHAnsi" w:hAnsiTheme="majorHAnsi" w:cstheme="majorHAnsi"/>
          <w:lang w:val="en-US"/>
        </w:rPr>
      </w:pPr>
    </w:p>
    <w:p w14:paraId="44CE89EA" w14:textId="77777777" w:rsidR="0063745B" w:rsidRPr="00F85A34" w:rsidRDefault="0063745B" w:rsidP="002C51ED">
      <w:pPr>
        <w:rPr>
          <w:rFonts w:asciiTheme="majorHAnsi" w:hAnsiTheme="majorHAnsi" w:cstheme="majorHAnsi"/>
          <w:lang w:val="en-US"/>
        </w:rPr>
      </w:pPr>
    </w:p>
    <w:p w14:paraId="428DB47E" w14:textId="77777777" w:rsidR="00F04DE5" w:rsidRPr="00F85A34" w:rsidRDefault="00F04DE5" w:rsidP="002C51ED">
      <w:pPr>
        <w:rPr>
          <w:rFonts w:asciiTheme="majorHAnsi" w:hAnsiTheme="majorHAnsi" w:cstheme="majorHAnsi"/>
          <w:lang w:val="en-US"/>
        </w:rPr>
      </w:pPr>
    </w:p>
    <w:p w14:paraId="5152217C" w14:textId="77777777" w:rsidR="00F04DE5" w:rsidRPr="00F85A34" w:rsidRDefault="00F04DE5" w:rsidP="002C51ED">
      <w:pPr>
        <w:rPr>
          <w:rFonts w:asciiTheme="majorHAnsi" w:hAnsiTheme="majorHAnsi" w:cstheme="majorHAnsi"/>
          <w:lang w:val="en-US"/>
        </w:rPr>
      </w:pPr>
    </w:p>
    <w:p w14:paraId="56DB7879" w14:textId="77777777" w:rsidR="002C51ED" w:rsidRPr="00F85A34" w:rsidRDefault="002C51ED" w:rsidP="002C51ED">
      <w:pPr>
        <w:rPr>
          <w:rFonts w:asciiTheme="majorHAnsi" w:hAnsiTheme="majorHAnsi" w:cstheme="majorHAnsi"/>
          <w:lang w:val="en-US"/>
        </w:rPr>
      </w:pPr>
    </w:p>
    <w:p w14:paraId="6C0C9AAD" w14:textId="77777777" w:rsidR="00F85A34" w:rsidRDefault="00F85A34" w:rsidP="003A3F14">
      <w:pPr>
        <w:pStyle w:val="Kop1"/>
        <w:rPr>
          <w:rFonts w:asciiTheme="majorHAnsi" w:hAnsiTheme="majorHAnsi" w:cstheme="majorHAnsi"/>
          <w:sz w:val="22"/>
        </w:rPr>
      </w:pPr>
    </w:p>
    <w:p w14:paraId="4E78C9AC" w14:textId="77777777" w:rsidR="00F85A34" w:rsidRPr="00F85A34" w:rsidRDefault="00F85A34" w:rsidP="00F85A34">
      <w:pPr>
        <w:pStyle w:val="Geenafstand"/>
        <w:rPr>
          <w:rFonts w:asciiTheme="majorHAnsi" w:hAnsiTheme="majorHAnsi" w:cstheme="majorHAnsi"/>
          <w:b/>
          <w:lang w:val="en-US"/>
        </w:rPr>
      </w:pPr>
      <w:bookmarkStart w:id="0" w:name="_GoBack"/>
      <w:r w:rsidRPr="00F85A34">
        <w:rPr>
          <w:rFonts w:asciiTheme="majorHAnsi" w:hAnsiTheme="majorHAnsi" w:cstheme="majorHAnsi"/>
          <w:b/>
          <w:lang w:val="en-US"/>
        </w:rPr>
        <w:lastRenderedPageBreak/>
        <w:t>Table of contents project plan</w:t>
      </w:r>
    </w:p>
    <w:bookmarkEnd w:id="0"/>
    <w:p w14:paraId="0ADDAB52" w14:textId="77777777" w:rsidR="00F85A34" w:rsidRPr="00F85A34" w:rsidRDefault="00F85A34" w:rsidP="00F85A34">
      <w:pPr>
        <w:pStyle w:val="Geenafstand"/>
        <w:rPr>
          <w:rFonts w:asciiTheme="majorHAnsi" w:hAnsiTheme="majorHAnsi" w:cstheme="majorHAnsi"/>
          <w:lang w:val="en-US"/>
        </w:rPr>
      </w:pPr>
      <w:r w:rsidRPr="00F85A34">
        <w:rPr>
          <w:rFonts w:asciiTheme="majorHAnsi" w:hAnsiTheme="majorHAnsi" w:cstheme="majorHAnsi"/>
          <w:lang w:val="en-US"/>
        </w:rPr>
        <w:t>The parts below must be included in the project plan. Preferably you also keep to this table of contents. The project plan may contain a maximum of 7,500 words.</w:t>
      </w:r>
    </w:p>
    <w:p w14:paraId="7502287A" w14:textId="77777777" w:rsidR="00F85A34" w:rsidRPr="00F85A34" w:rsidRDefault="00F85A34" w:rsidP="00F85A34">
      <w:pPr>
        <w:pStyle w:val="Geenafstand"/>
        <w:rPr>
          <w:rFonts w:asciiTheme="majorHAnsi" w:hAnsiTheme="majorHAnsi" w:cstheme="majorHAnsi"/>
          <w:lang w:val="en-US"/>
        </w:rPr>
      </w:pPr>
    </w:p>
    <w:p w14:paraId="6ED7B94B" w14:textId="77777777" w:rsidR="00F85A34" w:rsidRPr="00F85A34" w:rsidRDefault="00F85A34" w:rsidP="00F85A34">
      <w:pPr>
        <w:pStyle w:val="Geenafstand"/>
        <w:rPr>
          <w:rFonts w:asciiTheme="majorHAnsi" w:hAnsiTheme="majorHAnsi" w:cstheme="majorHAnsi"/>
          <w:lang w:val="en-US"/>
        </w:rPr>
      </w:pPr>
      <w:r w:rsidRPr="00F85A34">
        <w:rPr>
          <w:rFonts w:asciiTheme="majorHAnsi" w:hAnsiTheme="majorHAnsi" w:cstheme="majorHAnsi"/>
          <w:lang w:val="en-US"/>
        </w:rPr>
        <w:t>1. Summary</w:t>
      </w:r>
    </w:p>
    <w:p w14:paraId="64EC5E84" w14:textId="77777777" w:rsidR="00F85A34" w:rsidRPr="00F85A34" w:rsidRDefault="00F85A34" w:rsidP="00F85A34">
      <w:pPr>
        <w:pStyle w:val="Geenafstand"/>
        <w:rPr>
          <w:rFonts w:asciiTheme="majorHAnsi" w:hAnsiTheme="majorHAnsi" w:cstheme="majorHAnsi"/>
          <w:lang w:val="en-US"/>
        </w:rPr>
      </w:pPr>
    </w:p>
    <w:p w14:paraId="5AF2D9EC" w14:textId="77777777" w:rsidR="00F85A34" w:rsidRPr="00F85A34" w:rsidRDefault="00F85A34" w:rsidP="00F85A34">
      <w:pPr>
        <w:pStyle w:val="Geenafstand"/>
        <w:rPr>
          <w:rFonts w:asciiTheme="majorHAnsi" w:hAnsiTheme="majorHAnsi" w:cstheme="majorHAnsi"/>
          <w:lang w:val="en-US"/>
        </w:rPr>
      </w:pPr>
      <w:r w:rsidRPr="00F85A34">
        <w:rPr>
          <w:rFonts w:asciiTheme="majorHAnsi" w:hAnsiTheme="majorHAnsi" w:cstheme="majorHAnsi"/>
          <w:lang w:val="en-US"/>
        </w:rPr>
        <w:t>2 Introduction</w:t>
      </w:r>
    </w:p>
    <w:p w14:paraId="319F291F" w14:textId="77777777" w:rsidR="00F85A34" w:rsidRPr="00F85A34" w:rsidRDefault="00F85A34" w:rsidP="00F85A34">
      <w:pPr>
        <w:pStyle w:val="Geenafstand"/>
        <w:rPr>
          <w:rFonts w:asciiTheme="majorHAnsi" w:hAnsiTheme="majorHAnsi" w:cstheme="majorHAnsi"/>
          <w:lang w:val="en-US"/>
        </w:rPr>
      </w:pPr>
      <w:r w:rsidRPr="00F85A34">
        <w:rPr>
          <w:rFonts w:asciiTheme="majorHAnsi" w:hAnsiTheme="majorHAnsi" w:cstheme="majorHAnsi"/>
          <w:lang w:val="en-US"/>
        </w:rPr>
        <w:t>- the internal and external context in which the project is located</w:t>
      </w:r>
    </w:p>
    <w:p w14:paraId="41F963CD" w14:textId="77777777" w:rsidR="00F85A34" w:rsidRPr="00F85A34" w:rsidRDefault="00F85A34" w:rsidP="00F85A34">
      <w:pPr>
        <w:pStyle w:val="Geenafstand"/>
        <w:rPr>
          <w:rFonts w:asciiTheme="majorHAnsi" w:hAnsiTheme="majorHAnsi" w:cstheme="majorHAnsi"/>
          <w:lang w:val="en-US"/>
        </w:rPr>
      </w:pPr>
      <w:r w:rsidRPr="00F85A34">
        <w:rPr>
          <w:rFonts w:asciiTheme="majorHAnsi" w:hAnsiTheme="majorHAnsi" w:cstheme="majorHAnsi"/>
          <w:lang w:val="en-US"/>
        </w:rPr>
        <w:t>- the reason or problem statement to start Cultural Education with Quality</w:t>
      </w:r>
    </w:p>
    <w:p w14:paraId="17768BA3" w14:textId="77777777" w:rsidR="00F85A34" w:rsidRPr="00F85A34" w:rsidRDefault="00F85A34" w:rsidP="00F85A34">
      <w:pPr>
        <w:pStyle w:val="Geenafstand"/>
        <w:rPr>
          <w:rFonts w:asciiTheme="majorHAnsi" w:hAnsiTheme="majorHAnsi" w:cstheme="majorHAnsi"/>
          <w:lang w:val="en-US"/>
        </w:rPr>
      </w:pPr>
    </w:p>
    <w:p w14:paraId="39D7AFBA" w14:textId="77777777" w:rsidR="00F85A34" w:rsidRPr="00F85A34" w:rsidRDefault="00F85A34" w:rsidP="00F85A34">
      <w:pPr>
        <w:pStyle w:val="Geenafstand"/>
        <w:rPr>
          <w:rFonts w:asciiTheme="majorHAnsi" w:hAnsiTheme="majorHAnsi" w:cstheme="majorHAnsi"/>
          <w:lang w:val="en-US"/>
        </w:rPr>
      </w:pPr>
      <w:r w:rsidRPr="00F85A34">
        <w:rPr>
          <w:rFonts w:asciiTheme="majorHAnsi" w:hAnsiTheme="majorHAnsi" w:cstheme="majorHAnsi"/>
          <w:lang w:val="en-US"/>
        </w:rPr>
        <w:t>3. Reflection on the state of affairs Cultural Education with Quality</w:t>
      </w:r>
    </w:p>
    <w:p w14:paraId="227D3F4D" w14:textId="77777777" w:rsidR="00F85A34" w:rsidRPr="00F85A34" w:rsidRDefault="00F85A34" w:rsidP="00F85A34">
      <w:pPr>
        <w:pStyle w:val="Geenafstand"/>
        <w:rPr>
          <w:rFonts w:asciiTheme="majorHAnsi" w:hAnsiTheme="majorHAnsi" w:cstheme="majorHAnsi"/>
          <w:lang w:val="en-US"/>
        </w:rPr>
      </w:pPr>
      <w:r w:rsidRPr="00F85A34">
        <w:rPr>
          <w:rFonts w:asciiTheme="majorHAnsi" w:hAnsiTheme="majorHAnsi" w:cstheme="majorHAnsi"/>
          <w:lang w:val="en-US"/>
        </w:rPr>
        <w:t>- an analysis of the position of cultural education within the regional or local context (support for education, cultural institutions and politics)</w:t>
      </w:r>
    </w:p>
    <w:p w14:paraId="39F22073" w14:textId="77777777" w:rsidR="00F85A34" w:rsidRPr="00F85A34" w:rsidRDefault="00F85A34" w:rsidP="00F85A34">
      <w:pPr>
        <w:pStyle w:val="Geenafstand"/>
        <w:rPr>
          <w:rFonts w:asciiTheme="majorHAnsi" w:hAnsiTheme="majorHAnsi" w:cstheme="majorHAnsi"/>
          <w:lang w:val="en-US"/>
        </w:rPr>
      </w:pPr>
      <w:r w:rsidRPr="00F85A34">
        <w:rPr>
          <w:rFonts w:asciiTheme="majorHAnsi" w:hAnsiTheme="majorHAnsi" w:cstheme="majorHAnsi"/>
          <w:lang w:val="en-US"/>
        </w:rPr>
        <w:t>- reflection on previous impulses to strengthen cultural education, such as the music impulse or other initiatives.</w:t>
      </w:r>
    </w:p>
    <w:p w14:paraId="18D3AD74" w14:textId="77777777" w:rsidR="00F85A34" w:rsidRPr="00F85A34" w:rsidRDefault="00F85A34" w:rsidP="00F85A34">
      <w:pPr>
        <w:pStyle w:val="Geenafstand"/>
        <w:rPr>
          <w:rFonts w:asciiTheme="majorHAnsi" w:hAnsiTheme="majorHAnsi" w:cstheme="majorHAnsi"/>
          <w:lang w:val="en-US"/>
        </w:rPr>
      </w:pPr>
    </w:p>
    <w:p w14:paraId="0BB1EE2C" w14:textId="77777777" w:rsidR="00F85A34" w:rsidRPr="00F85A34" w:rsidRDefault="00F85A34" w:rsidP="00F85A34">
      <w:pPr>
        <w:pStyle w:val="Geenafstand"/>
        <w:rPr>
          <w:rFonts w:asciiTheme="majorHAnsi" w:hAnsiTheme="majorHAnsi" w:cstheme="majorHAnsi"/>
          <w:lang w:val="en-US"/>
        </w:rPr>
      </w:pPr>
      <w:r w:rsidRPr="00F85A34">
        <w:rPr>
          <w:rFonts w:asciiTheme="majorHAnsi" w:hAnsiTheme="majorHAnsi" w:cstheme="majorHAnsi"/>
          <w:lang w:val="en-US"/>
        </w:rPr>
        <w:t>4. Activities 2021-2022</w:t>
      </w:r>
    </w:p>
    <w:p w14:paraId="440AB5D9" w14:textId="77777777" w:rsidR="00F85A34" w:rsidRPr="00F85A34" w:rsidRDefault="00F85A34" w:rsidP="00F85A34">
      <w:pPr>
        <w:pStyle w:val="Geenafstand"/>
        <w:rPr>
          <w:rFonts w:asciiTheme="majorHAnsi" w:hAnsiTheme="majorHAnsi" w:cstheme="majorHAnsi"/>
          <w:lang w:val="en-US"/>
        </w:rPr>
      </w:pPr>
      <w:r w:rsidRPr="00F85A34">
        <w:rPr>
          <w:rFonts w:asciiTheme="majorHAnsi" w:hAnsiTheme="majorHAnsi" w:cstheme="majorHAnsi"/>
          <w:lang w:val="en-US"/>
        </w:rPr>
        <w:t>- the project objectives translated into the local situation</w:t>
      </w:r>
    </w:p>
    <w:p w14:paraId="69EF1195" w14:textId="77777777" w:rsidR="00F85A34" w:rsidRPr="00F85A34" w:rsidRDefault="00F85A34" w:rsidP="00F85A34">
      <w:pPr>
        <w:pStyle w:val="Geenafstand"/>
        <w:rPr>
          <w:rFonts w:asciiTheme="majorHAnsi" w:hAnsiTheme="majorHAnsi" w:cstheme="majorHAnsi"/>
          <w:lang w:val="en-US"/>
        </w:rPr>
      </w:pPr>
      <w:r w:rsidRPr="00F85A34">
        <w:rPr>
          <w:rFonts w:asciiTheme="majorHAnsi" w:hAnsiTheme="majorHAnsi" w:cstheme="majorHAnsi"/>
          <w:lang w:val="en-US"/>
        </w:rPr>
        <w:t>- the demarcation of the project and its relationship with other cultural education activities</w:t>
      </w:r>
    </w:p>
    <w:p w14:paraId="13827379" w14:textId="77777777" w:rsidR="00F85A34" w:rsidRPr="00F85A34" w:rsidRDefault="00F85A34" w:rsidP="00F85A34">
      <w:pPr>
        <w:pStyle w:val="Geenafstand"/>
        <w:rPr>
          <w:rFonts w:asciiTheme="majorHAnsi" w:hAnsiTheme="majorHAnsi" w:cstheme="majorHAnsi"/>
          <w:lang w:val="en-US"/>
        </w:rPr>
      </w:pPr>
      <w:r w:rsidRPr="00F85A34">
        <w:rPr>
          <w:rFonts w:asciiTheme="majorHAnsi" w:hAnsiTheme="majorHAnsi" w:cstheme="majorHAnsi"/>
          <w:lang w:val="en-US"/>
        </w:rPr>
        <w:t>- the results at the end of the project</w:t>
      </w:r>
    </w:p>
    <w:p w14:paraId="0E94A37B" w14:textId="77777777" w:rsidR="00F85A34" w:rsidRPr="00F85A34" w:rsidRDefault="00F85A34" w:rsidP="00F85A34">
      <w:pPr>
        <w:pStyle w:val="Geenafstand"/>
        <w:rPr>
          <w:rFonts w:asciiTheme="majorHAnsi" w:hAnsiTheme="majorHAnsi" w:cstheme="majorHAnsi"/>
          <w:lang w:val="en-US"/>
        </w:rPr>
      </w:pPr>
      <w:r w:rsidRPr="00F85A34">
        <w:rPr>
          <w:rFonts w:asciiTheme="majorHAnsi" w:hAnsiTheme="majorHAnsi" w:cstheme="majorHAnsi"/>
          <w:lang w:val="en-US"/>
        </w:rPr>
        <w:t>- description of the activities in relation to the project objectives and the relationship between the activities</w:t>
      </w:r>
    </w:p>
    <w:p w14:paraId="775053D6" w14:textId="77777777" w:rsidR="00F85A34" w:rsidRPr="00F85A34" w:rsidRDefault="00F85A34" w:rsidP="00F85A34">
      <w:pPr>
        <w:pStyle w:val="Geenafstand"/>
        <w:rPr>
          <w:rFonts w:asciiTheme="majorHAnsi" w:hAnsiTheme="majorHAnsi" w:cstheme="majorHAnsi"/>
          <w:lang w:val="en-US"/>
        </w:rPr>
      </w:pPr>
      <w:r w:rsidRPr="00F85A34">
        <w:rPr>
          <w:rFonts w:asciiTheme="majorHAnsi" w:hAnsiTheme="majorHAnsi" w:cstheme="majorHAnsi"/>
          <w:lang w:val="en-US"/>
        </w:rPr>
        <w:t>- How is the Equality theme given shape in the project?</w:t>
      </w:r>
    </w:p>
    <w:p w14:paraId="5FAD34BF" w14:textId="77777777" w:rsidR="00F85A34" w:rsidRPr="00F85A34" w:rsidRDefault="00F85A34" w:rsidP="00F85A34">
      <w:pPr>
        <w:pStyle w:val="Geenafstand"/>
        <w:rPr>
          <w:rFonts w:asciiTheme="majorHAnsi" w:hAnsiTheme="majorHAnsi" w:cstheme="majorHAnsi"/>
          <w:lang w:val="en-US"/>
        </w:rPr>
      </w:pPr>
    </w:p>
    <w:p w14:paraId="12CD74E8" w14:textId="77777777" w:rsidR="00F85A34" w:rsidRPr="00F85A34" w:rsidRDefault="00F85A34" w:rsidP="00F85A34">
      <w:pPr>
        <w:pStyle w:val="Geenafstand"/>
        <w:rPr>
          <w:rFonts w:asciiTheme="majorHAnsi" w:hAnsiTheme="majorHAnsi" w:cstheme="majorHAnsi"/>
          <w:lang w:val="en-US"/>
        </w:rPr>
      </w:pPr>
      <w:r w:rsidRPr="00F85A34">
        <w:rPr>
          <w:rFonts w:asciiTheme="majorHAnsi" w:hAnsiTheme="majorHAnsi" w:cstheme="majorHAnsi"/>
          <w:lang w:val="en-US"/>
        </w:rPr>
        <w:t>5. Collaboration of secretary, education, cultural institutions and others</w:t>
      </w:r>
    </w:p>
    <w:p w14:paraId="6F0AA2DF" w14:textId="77777777" w:rsidR="00F85A34" w:rsidRPr="00F85A34" w:rsidRDefault="00F85A34" w:rsidP="00F85A34">
      <w:pPr>
        <w:pStyle w:val="Geenafstand"/>
        <w:rPr>
          <w:rFonts w:asciiTheme="majorHAnsi" w:hAnsiTheme="majorHAnsi" w:cstheme="majorHAnsi"/>
          <w:lang w:val="en-US"/>
        </w:rPr>
      </w:pPr>
      <w:r w:rsidRPr="00F85A34">
        <w:rPr>
          <w:rFonts w:asciiTheme="majorHAnsi" w:hAnsiTheme="majorHAnsi" w:cstheme="majorHAnsi"/>
          <w:lang w:val="en-US"/>
        </w:rPr>
        <w:t>- partnership and division of tasks and roles</w:t>
      </w:r>
    </w:p>
    <w:p w14:paraId="061746DE" w14:textId="77777777" w:rsidR="00F85A34" w:rsidRPr="00F85A34" w:rsidRDefault="00F85A34" w:rsidP="00F85A34">
      <w:pPr>
        <w:pStyle w:val="Geenafstand"/>
        <w:rPr>
          <w:rFonts w:asciiTheme="majorHAnsi" w:hAnsiTheme="majorHAnsi" w:cstheme="majorHAnsi"/>
          <w:lang w:val="en-US"/>
        </w:rPr>
      </w:pPr>
      <w:r w:rsidRPr="00F85A34">
        <w:rPr>
          <w:rFonts w:asciiTheme="majorHAnsi" w:hAnsiTheme="majorHAnsi" w:cstheme="majorHAnsi"/>
          <w:lang w:val="en-US"/>
        </w:rPr>
        <w:t>- involvement of parties in planning</w:t>
      </w:r>
    </w:p>
    <w:p w14:paraId="46065DE2" w14:textId="77777777" w:rsidR="00F85A34" w:rsidRPr="00F85A34" w:rsidRDefault="00F85A34" w:rsidP="00F85A34">
      <w:pPr>
        <w:pStyle w:val="Geenafstand"/>
        <w:rPr>
          <w:rFonts w:asciiTheme="majorHAnsi" w:hAnsiTheme="majorHAnsi" w:cstheme="majorHAnsi"/>
          <w:lang w:val="en-US"/>
        </w:rPr>
      </w:pPr>
    </w:p>
    <w:p w14:paraId="7D4C7985" w14:textId="77777777" w:rsidR="00F85A34" w:rsidRPr="00F85A34" w:rsidRDefault="00F85A34" w:rsidP="00F85A34">
      <w:pPr>
        <w:pStyle w:val="Geenafstand"/>
        <w:rPr>
          <w:rFonts w:asciiTheme="majorHAnsi" w:hAnsiTheme="majorHAnsi" w:cstheme="majorHAnsi"/>
          <w:lang w:val="en-US"/>
        </w:rPr>
      </w:pPr>
      <w:r w:rsidRPr="00F85A34">
        <w:rPr>
          <w:rFonts w:asciiTheme="majorHAnsi" w:hAnsiTheme="majorHAnsi" w:cstheme="majorHAnsi"/>
          <w:lang w:val="en-US"/>
        </w:rPr>
        <w:t>6. Knowledge sharing</w:t>
      </w:r>
    </w:p>
    <w:p w14:paraId="79DEDC06" w14:textId="77777777" w:rsidR="00F85A34" w:rsidRPr="00F85A34" w:rsidRDefault="00F85A34" w:rsidP="00F85A34">
      <w:pPr>
        <w:pStyle w:val="Geenafstand"/>
        <w:rPr>
          <w:rFonts w:asciiTheme="majorHAnsi" w:hAnsiTheme="majorHAnsi" w:cstheme="majorHAnsi"/>
          <w:lang w:val="en-US"/>
        </w:rPr>
      </w:pPr>
      <w:r w:rsidRPr="00F85A34">
        <w:rPr>
          <w:rFonts w:asciiTheme="majorHAnsi" w:hAnsiTheme="majorHAnsi" w:cstheme="majorHAnsi"/>
          <w:lang w:val="en-US"/>
        </w:rPr>
        <w:t>- explanation of knowledge-sharing activities for schools and cultural institutions</w:t>
      </w:r>
    </w:p>
    <w:p w14:paraId="75ABC3FE" w14:textId="77777777" w:rsidR="00F85A34" w:rsidRPr="00F85A34" w:rsidRDefault="00F85A34" w:rsidP="00F85A34">
      <w:pPr>
        <w:pStyle w:val="Geenafstand"/>
        <w:rPr>
          <w:rFonts w:asciiTheme="majorHAnsi" w:hAnsiTheme="majorHAnsi" w:cstheme="majorHAnsi"/>
          <w:lang w:val="en-US"/>
        </w:rPr>
      </w:pPr>
      <w:r w:rsidRPr="00F85A34">
        <w:rPr>
          <w:rFonts w:asciiTheme="majorHAnsi" w:hAnsiTheme="majorHAnsi" w:cstheme="majorHAnsi"/>
          <w:lang w:val="en-US"/>
        </w:rPr>
        <w:t>- the way in which schools and cultural institutions are involved in the sharing of knowledge</w:t>
      </w:r>
    </w:p>
    <w:p w14:paraId="598AE42D" w14:textId="77777777" w:rsidR="00F85A34" w:rsidRPr="00F85A34" w:rsidRDefault="00F85A34" w:rsidP="00F85A34">
      <w:pPr>
        <w:pStyle w:val="Geenafstand"/>
        <w:rPr>
          <w:rFonts w:asciiTheme="majorHAnsi" w:hAnsiTheme="majorHAnsi" w:cstheme="majorHAnsi"/>
          <w:lang w:val="en-US"/>
        </w:rPr>
      </w:pPr>
      <w:r w:rsidRPr="00F85A34">
        <w:rPr>
          <w:rFonts w:asciiTheme="majorHAnsi" w:hAnsiTheme="majorHAnsi" w:cstheme="majorHAnsi"/>
          <w:lang w:val="en-US"/>
        </w:rPr>
        <w:t>- use of existing networks of schools and cultural institutions</w:t>
      </w:r>
    </w:p>
    <w:p w14:paraId="40608AC2" w14:textId="77777777" w:rsidR="00F85A34" w:rsidRPr="00F85A34" w:rsidRDefault="00F85A34" w:rsidP="00F85A34">
      <w:pPr>
        <w:pStyle w:val="Geenafstand"/>
        <w:rPr>
          <w:rFonts w:asciiTheme="majorHAnsi" w:hAnsiTheme="majorHAnsi" w:cstheme="majorHAnsi"/>
          <w:lang w:val="en-US"/>
        </w:rPr>
      </w:pPr>
      <w:r w:rsidRPr="00F85A34">
        <w:rPr>
          <w:rFonts w:asciiTheme="majorHAnsi" w:hAnsiTheme="majorHAnsi" w:cstheme="majorHAnsi"/>
          <w:lang w:val="en-US"/>
        </w:rPr>
        <w:t>- topics on which knowledge is shared</w:t>
      </w:r>
    </w:p>
    <w:p w14:paraId="52B80A58" w14:textId="77777777" w:rsidR="00F85A34" w:rsidRPr="00F85A34" w:rsidRDefault="00F85A34" w:rsidP="00F85A34">
      <w:pPr>
        <w:pStyle w:val="Geenafstand"/>
        <w:rPr>
          <w:rFonts w:asciiTheme="majorHAnsi" w:hAnsiTheme="majorHAnsi" w:cstheme="majorHAnsi"/>
          <w:lang w:val="en-US"/>
        </w:rPr>
      </w:pPr>
    </w:p>
    <w:p w14:paraId="7971B1F3" w14:textId="77777777" w:rsidR="00F85A34" w:rsidRPr="00F85A34" w:rsidRDefault="00F85A34" w:rsidP="00F85A34">
      <w:pPr>
        <w:pStyle w:val="Geenafstand"/>
        <w:rPr>
          <w:rFonts w:asciiTheme="majorHAnsi" w:hAnsiTheme="majorHAnsi" w:cstheme="majorHAnsi"/>
          <w:lang w:val="en-US"/>
        </w:rPr>
      </w:pPr>
      <w:r w:rsidRPr="00F85A34">
        <w:rPr>
          <w:rFonts w:asciiTheme="majorHAnsi" w:hAnsiTheme="majorHAnsi" w:cstheme="majorHAnsi"/>
          <w:lang w:val="en-US"/>
        </w:rPr>
        <w:t>7. Monitoring and evaluation</w:t>
      </w:r>
    </w:p>
    <w:p w14:paraId="19C4AB45" w14:textId="77777777" w:rsidR="00F85A34" w:rsidRPr="00F85A34" w:rsidRDefault="00F85A34" w:rsidP="00F85A34">
      <w:pPr>
        <w:pStyle w:val="Geenafstand"/>
        <w:rPr>
          <w:rFonts w:asciiTheme="majorHAnsi" w:hAnsiTheme="majorHAnsi" w:cstheme="majorHAnsi"/>
          <w:lang w:val="en-US"/>
        </w:rPr>
      </w:pPr>
      <w:r w:rsidRPr="00F85A34">
        <w:rPr>
          <w:rFonts w:asciiTheme="majorHAnsi" w:hAnsiTheme="majorHAnsi" w:cstheme="majorHAnsi"/>
          <w:lang w:val="en-US"/>
        </w:rPr>
        <w:t>- explanation of monitoring activities and objectives</w:t>
      </w:r>
    </w:p>
    <w:p w14:paraId="28EB3070" w14:textId="77777777" w:rsidR="00F85A34" w:rsidRPr="00F85A34" w:rsidRDefault="00F85A34" w:rsidP="00F85A34">
      <w:pPr>
        <w:pStyle w:val="Geenafstand"/>
        <w:rPr>
          <w:rFonts w:asciiTheme="majorHAnsi" w:hAnsiTheme="majorHAnsi" w:cstheme="majorHAnsi"/>
          <w:lang w:val="en-US"/>
        </w:rPr>
      </w:pPr>
      <w:r w:rsidRPr="00F85A34">
        <w:rPr>
          <w:rFonts w:asciiTheme="majorHAnsi" w:hAnsiTheme="majorHAnsi" w:cstheme="majorHAnsi"/>
          <w:lang w:val="en-US"/>
        </w:rPr>
        <w:t>- questions that guide the monitoring and evaluation</w:t>
      </w:r>
    </w:p>
    <w:p w14:paraId="61ADFF45" w14:textId="77777777" w:rsidR="00F85A34" w:rsidRPr="00F85A34" w:rsidRDefault="00F85A34" w:rsidP="00F85A34">
      <w:pPr>
        <w:pStyle w:val="Geenafstand"/>
        <w:rPr>
          <w:rFonts w:asciiTheme="majorHAnsi" w:hAnsiTheme="majorHAnsi" w:cstheme="majorHAnsi"/>
          <w:lang w:val="en-US"/>
        </w:rPr>
      </w:pPr>
      <w:r w:rsidRPr="00F85A34">
        <w:rPr>
          <w:rFonts w:asciiTheme="majorHAnsi" w:hAnsiTheme="majorHAnsi" w:cstheme="majorHAnsi"/>
          <w:lang w:val="en-US"/>
        </w:rPr>
        <w:t>- how schools, cultural institutions and other relevant parties (stakeholders) are involved in the monitoring and evaluation</w:t>
      </w:r>
    </w:p>
    <w:p w14:paraId="6B26D7F3" w14:textId="77777777" w:rsidR="00F85A34" w:rsidRPr="00F85A34" w:rsidRDefault="00F85A34" w:rsidP="00F85A34">
      <w:pPr>
        <w:pStyle w:val="Geenafstand"/>
        <w:rPr>
          <w:rFonts w:asciiTheme="majorHAnsi" w:hAnsiTheme="majorHAnsi" w:cstheme="majorHAnsi"/>
          <w:lang w:val="en-US"/>
        </w:rPr>
      </w:pPr>
    </w:p>
    <w:p w14:paraId="4C3775F8" w14:textId="77777777" w:rsidR="00F85A34" w:rsidRPr="00F85A34" w:rsidRDefault="00F85A34" w:rsidP="00F85A34">
      <w:pPr>
        <w:pStyle w:val="Geenafstand"/>
        <w:rPr>
          <w:rFonts w:asciiTheme="majorHAnsi" w:hAnsiTheme="majorHAnsi" w:cstheme="majorHAnsi"/>
          <w:lang w:val="en-US"/>
        </w:rPr>
      </w:pPr>
      <w:r w:rsidRPr="00F85A34">
        <w:rPr>
          <w:rFonts w:asciiTheme="majorHAnsi" w:hAnsiTheme="majorHAnsi" w:cstheme="majorHAnsi"/>
          <w:lang w:val="en-US"/>
        </w:rPr>
        <w:t>8. Planning</w:t>
      </w:r>
    </w:p>
    <w:p w14:paraId="06B58C21" w14:textId="77777777" w:rsidR="00F85A34" w:rsidRPr="00F85A34" w:rsidRDefault="00F85A34" w:rsidP="00F85A34">
      <w:pPr>
        <w:pStyle w:val="Geenafstand"/>
        <w:rPr>
          <w:rFonts w:asciiTheme="majorHAnsi" w:hAnsiTheme="majorHAnsi" w:cstheme="majorHAnsi"/>
          <w:lang w:val="en-US"/>
        </w:rPr>
      </w:pPr>
    </w:p>
    <w:p w14:paraId="7DCD8A14" w14:textId="77777777" w:rsidR="00F85A34" w:rsidRPr="00F85A34" w:rsidRDefault="00F85A34" w:rsidP="00F85A34">
      <w:pPr>
        <w:pStyle w:val="Geenafstand"/>
        <w:rPr>
          <w:rFonts w:asciiTheme="majorHAnsi" w:hAnsiTheme="majorHAnsi" w:cstheme="majorHAnsi"/>
          <w:lang w:val="en-US"/>
        </w:rPr>
      </w:pPr>
      <w:r w:rsidRPr="00F85A34">
        <w:rPr>
          <w:rFonts w:asciiTheme="majorHAnsi" w:hAnsiTheme="majorHAnsi" w:cstheme="majorHAnsi"/>
          <w:lang w:val="en-US"/>
        </w:rPr>
        <w:t>9. Budget</w:t>
      </w:r>
    </w:p>
    <w:p w14:paraId="51371507" w14:textId="77777777" w:rsidR="00F85A34" w:rsidRPr="00F85A34" w:rsidRDefault="00F85A34" w:rsidP="00F85A34">
      <w:pPr>
        <w:pStyle w:val="Geenafstand"/>
        <w:rPr>
          <w:rFonts w:asciiTheme="majorHAnsi" w:hAnsiTheme="majorHAnsi" w:cstheme="majorHAnsi"/>
          <w:lang w:val="en-US"/>
        </w:rPr>
      </w:pPr>
      <w:r w:rsidRPr="00F85A34">
        <w:rPr>
          <w:rFonts w:asciiTheme="majorHAnsi" w:hAnsiTheme="majorHAnsi" w:cstheme="majorHAnsi"/>
          <w:lang w:val="en-US"/>
        </w:rPr>
        <w:t>- budget in your own format</w:t>
      </w:r>
    </w:p>
    <w:p w14:paraId="1A66EA1A" w14:textId="492E9FCF" w:rsidR="00CB4F9A" w:rsidRPr="00F04DE5" w:rsidRDefault="00F85A34" w:rsidP="00F85A34">
      <w:pPr>
        <w:pStyle w:val="Geenafstand"/>
        <w:rPr>
          <w:rFonts w:asciiTheme="majorHAnsi" w:hAnsiTheme="majorHAnsi" w:cstheme="majorHAnsi"/>
        </w:rPr>
      </w:pPr>
      <w:r w:rsidRPr="00F85A34">
        <w:rPr>
          <w:rFonts w:asciiTheme="majorHAnsi" w:hAnsiTheme="majorHAnsi" w:cstheme="majorHAnsi"/>
        </w:rPr>
        <w:t xml:space="preserve">- </w:t>
      </w:r>
      <w:proofErr w:type="spellStart"/>
      <w:r w:rsidRPr="00F85A34">
        <w:rPr>
          <w:rFonts w:asciiTheme="majorHAnsi" w:hAnsiTheme="majorHAnsi" w:cstheme="majorHAnsi"/>
        </w:rPr>
        <w:t>explanation</w:t>
      </w:r>
      <w:proofErr w:type="spellEnd"/>
      <w:r w:rsidRPr="00F85A34">
        <w:rPr>
          <w:rFonts w:asciiTheme="majorHAnsi" w:hAnsiTheme="majorHAnsi" w:cstheme="majorHAnsi"/>
        </w:rPr>
        <w:t xml:space="preserve"> of </w:t>
      </w:r>
      <w:proofErr w:type="spellStart"/>
      <w:r w:rsidRPr="00F85A34">
        <w:rPr>
          <w:rFonts w:asciiTheme="majorHAnsi" w:hAnsiTheme="majorHAnsi" w:cstheme="majorHAnsi"/>
        </w:rPr>
        <w:t>the</w:t>
      </w:r>
      <w:proofErr w:type="spellEnd"/>
      <w:r w:rsidRPr="00F85A34">
        <w:rPr>
          <w:rFonts w:asciiTheme="majorHAnsi" w:hAnsiTheme="majorHAnsi" w:cstheme="majorHAnsi"/>
        </w:rPr>
        <w:t xml:space="preserve"> budget</w:t>
      </w:r>
    </w:p>
    <w:sectPr w:rsidR="00CB4F9A" w:rsidRPr="00F04D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imbusSanExtLig">
    <w:altName w:val="Courier New"/>
    <w:panose1 w:val="00000000000000000000"/>
    <w:charset w:val="00"/>
    <w:family w:val="modern"/>
    <w:notTrueType/>
    <w:pitch w:val="variable"/>
    <w:sig w:usb0="00000001"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imbusSan">
    <w:altName w:val="Courier New"/>
    <w:panose1 w:val="00000000000000000000"/>
    <w:charset w:val="00"/>
    <w:family w:val="modern"/>
    <w:notTrueType/>
    <w:pitch w:val="variable"/>
    <w:sig w:usb0="00000001"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ITCLubalinGraph-Demi">
    <w:panose1 w:val="020207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75C02"/>
    <w:multiLevelType w:val="hybridMultilevel"/>
    <w:tmpl w:val="1DB27760"/>
    <w:lvl w:ilvl="0" w:tplc="487640A4">
      <w:numFmt w:val="bullet"/>
      <w:lvlText w:val="-"/>
      <w:lvlJc w:val="left"/>
      <w:pPr>
        <w:ind w:left="1065" w:hanging="705"/>
      </w:pPr>
      <w:rPr>
        <w:rFonts w:ascii="NimbusSanExtLig" w:eastAsiaTheme="minorHAnsi" w:hAnsi="NimbusSanExtLig"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893A75"/>
    <w:multiLevelType w:val="hybridMultilevel"/>
    <w:tmpl w:val="9A568498"/>
    <w:lvl w:ilvl="0" w:tplc="487640A4">
      <w:numFmt w:val="bullet"/>
      <w:lvlText w:val="-"/>
      <w:lvlJc w:val="left"/>
      <w:pPr>
        <w:ind w:left="1065" w:hanging="705"/>
      </w:pPr>
      <w:rPr>
        <w:rFonts w:ascii="NimbusSanExtLig" w:eastAsiaTheme="minorHAnsi" w:hAnsi="NimbusSanExtLig"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3042681"/>
    <w:multiLevelType w:val="hybridMultilevel"/>
    <w:tmpl w:val="9F8C69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EC5264C"/>
    <w:multiLevelType w:val="hybridMultilevel"/>
    <w:tmpl w:val="DC9CEE54"/>
    <w:lvl w:ilvl="0" w:tplc="487640A4">
      <w:numFmt w:val="bullet"/>
      <w:lvlText w:val="-"/>
      <w:lvlJc w:val="left"/>
      <w:pPr>
        <w:ind w:left="1065" w:hanging="705"/>
      </w:pPr>
      <w:rPr>
        <w:rFonts w:ascii="NimbusSanExtLig" w:eastAsiaTheme="minorHAnsi" w:hAnsi="NimbusSanExtLig"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EFC7B9A"/>
    <w:multiLevelType w:val="hybridMultilevel"/>
    <w:tmpl w:val="3496C59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8C25427"/>
    <w:multiLevelType w:val="hybridMultilevel"/>
    <w:tmpl w:val="3C10ABEC"/>
    <w:lvl w:ilvl="0" w:tplc="487640A4">
      <w:numFmt w:val="bullet"/>
      <w:lvlText w:val="-"/>
      <w:lvlJc w:val="left"/>
      <w:pPr>
        <w:ind w:left="1065" w:hanging="705"/>
      </w:pPr>
      <w:rPr>
        <w:rFonts w:ascii="NimbusSanExtLig" w:eastAsiaTheme="minorHAnsi" w:hAnsi="NimbusSanExtLig"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D705E81"/>
    <w:multiLevelType w:val="hybridMultilevel"/>
    <w:tmpl w:val="C674EFB4"/>
    <w:lvl w:ilvl="0" w:tplc="487640A4">
      <w:numFmt w:val="bullet"/>
      <w:lvlText w:val="-"/>
      <w:lvlJc w:val="left"/>
      <w:pPr>
        <w:ind w:left="1065" w:hanging="705"/>
      </w:pPr>
      <w:rPr>
        <w:rFonts w:ascii="NimbusSanExtLig" w:eastAsiaTheme="minorHAnsi" w:hAnsi="NimbusSanExtLig"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AA75E33"/>
    <w:multiLevelType w:val="hybridMultilevel"/>
    <w:tmpl w:val="2E3AE0EE"/>
    <w:lvl w:ilvl="0" w:tplc="487640A4">
      <w:numFmt w:val="bullet"/>
      <w:lvlText w:val="-"/>
      <w:lvlJc w:val="left"/>
      <w:pPr>
        <w:ind w:left="720" w:hanging="360"/>
      </w:pPr>
      <w:rPr>
        <w:rFonts w:ascii="NimbusSanExtLig" w:eastAsiaTheme="minorHAnsi" w:hAnsi="NimbusSanExtLig"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3FE1917"/>
    <w:multiLevelType w:val="hybridMultilevel"/>
    <w:tmpl w:val="66D8FE44"/>
    <w:lvl w:ilvl="0" w:tplc="487640A4">
      <w:numFmt w:val="bullet"/>
      <w:lvlText w:val="-"/>
      <w:lvlJc w:val="left"/>
      <w:pPr>
        <w:ind w:left="1065" w:hanging="705"/>
      </w:pPr>
      <w:rPr>
        <w:rFonts w:ascii="NimbusSanExtLig" w:eastAsiaTheme="minorHAnsi" w:hAnsi="NimbusSanExtLig" w:cstheme="minorBidi" w:hint="default"/>
      </w:rPr>
    </w:lvl>
    <w:lvl w:ilvl="1" w:tplc="04130017">
      <w:start w:val="1"/>
      <w:numFmt w:val="lowerLetter"/>
      <w:lvlText w:val="%2)"/>
      <w:lvlJc w:val="left"/>
      <w:pPr>
        <w:ind w:left="1440" w:hanging="360"/>
      </w:pPr>
      <w:rPr>
        <w:rFont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ACB0449"/>
    <w:multiLevelType w:val="hybridMultilevel"/>
    <w:tmpl w:val="18889EFC"/>
    <w:lvl w:ilvl="0" w:tplc="487640A4">
      <w:numFmt w:val="bullet"/>
      <w:lvlText w:val="-"/>
      <w:lvlJc w:val="left"/>
      <w:pPr>
        <w:ind w:left="720" w:hanging="360"/>
      </w:pPr>
      <w:rPr>
        <w:rFonts w:ascii="NimbusSanExtLig" w:eastAsiaTheme="minorHAnsi" w:hAnsi="NimbusSanExtLig"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6"/>
  </w:num>
  <w:num w:numId="4">
    <w:abstractNumId w:val="7"/>
  </w:num>
  <w:num w:numId="5">
    <w:abstractNumId w:val="9"/>
  </w:num>
  <w:num w:numId="6">
    <w:abstractNumId w:val="8"/>
  </w:num>
  <w:num w:numId="7">
    <w:abstractNumId w:val="0"/>
  </w:num>
  <w:num w:numId="8">
    <w:abstractNumId w:val="1"/>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1ED"/>
    <w:rsid w:val="000F4A51"/>
    <w:rsid w:val="00234AF4"/>
    <w:rsid w:val="002C51ED"/>
    <w:rsid w:val="003A3F14"/>
    <w:rsid w:val="004E1236"/>
    <w:rsid w:val="004F1B10"/>
    <w:rsid w:val="0063745B"/>
    <w:rsid w:val="00734F10"/>
    <w:rsid w:val="00861EF9"/>
    <w:rsid w:val="008C4B2C"/>
    <w:rsid w:val="00A10603"/>
    <w:rsid w:val="00A32A6E"/>
    <w:rsid w:val="00CB4F9A"/>
    <w:rsid w:val="00CC523E"/>
    <w:rsid w:val="00E42975"/>
    <w:rsid w:val="00F04DE5"/>
    <w:rsid w:val="00F85A34"/>
    <w:rsid w:val="00FE78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3AE9E01"/>
  <w15:chartTrackingRefBased/>
  <w15:docId w15:val="{C334574B-293D-4266-9076-127467D3D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Geenafstand"/>
    <w:next w:val="Standaard"/>
    <w:link w:val="Kop1Char"/>
    <w:uiPriority w:val="9"/>
    <w:qFormat/>
    <w:rsid w:val="003A3F14"/>
    <w:pPr>
      <w:outlineLvl w:val="0"/>
    </w:pPr>
    <w:rPr>
      <w:rFonts w:ascii="NimbusSan" w:hAnsi="NimbusSan"/>
      <w:b/>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2C51ED"/>
    <w:pPr>
      <w:spacing w:after="0" w:line="240" w:lineRule="auto"/>
    </w:pPr>
  </w:style>
  <w:style w:type="character" w:customStyle="1" w:styleId="Kop1Char">
    <w:name w:val="Kop 1 Char"/>
    <w:basedOn w:val="Standaardalinea-lettertype"/>
    <w:link w:val="Kop1"/>
    <w:uiPriority w:val="9"/>
    <w:rsid w:val="003A3F14"/>
    <w:rPr>
      <w:rFonts w:ascii="NimbusSan" w:hAnsi="NimbusSan"/>
      <w:b/>
      <w:sz w:val="24"/>
    </w:rPr>
  </w:style>
  <w:style w:type="character" w:styleId="Verwijzingopmerking">
    <w:name w:val="annotation reference"/>
    <w:basedOn w:val="Standaardalinea-lettertype"/>
    <w:uiPriority w:val="99"/>
    <w:semiHidden/>
    <w:unhideWhenUsed/>
    <w:rsid w:val="0063745B"/>
    <w:rPr>
      <w:sz w:val="16"/>
      <w:szCs w:val="16"/>
    </w:rPr>
  </w:style>
  <w:style w:type="paragraph" w:styleId="Tekstopmerking">
    <w:name w:val="annotation text"/>
    <w:basedOn w:val="Standaard"/>
    <w:link w:val="TekstopmerkingChar"/>
    <w:uiPriority w:val="99"/>
    <w:semiHidden/>
    <w:unhideWhenUsed/>
    <w:rsid w:val="0063745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3745B"/>
    <w:rPr>
      <w:sz w:val="20"/>
      <w:szCs w:val="20"/>
    </w:rPr>
  </w:style>
  <w:style w:type="paragraph" w:styleId="Onderwerpvanopmerking">
    <w:name w:val="annotation subject"/>
    <w:basedOn w:val="Tekstopmerking"/>
    <w:next w:val="Tekstopmerking"/>
    <w:link w:val="OnderwerpvanopmerkingChar"/>
    <w:uiPriority w:val="99"/>
    <w:semiHidden/>
    <w:unhideWhenUsed/>
    <w:rsid w:val="0063745B"/>
    <w:rPr>
      <w:b/>
      <w:bCs/>
    </w:rPr>
  </w:style>
  <w:style w:type="character" w:customStyle="1" w:styleId="OnderwerpvanopmerkingChar">
    <w:name w:val="Onderwerp van opmerking Char"/>
    <w:basedOn w:val="TekstopmerkingChar"/>
    <w:link w:val="Onderwerpvanopmerking"/>
    <w:uiPriority w:val="99"/>
    <w:semiHidden/>
    <w:rsid w:val="0063745B"/>
    <w:rPr>
      <w:b/>
      <w:bCs/>
      <w:sz w:val="20"/>
      <w:szCs w:val="20"/>
    </w:rPr>
  </w:style>
  <w:style w:type="paragraph" w:styleId="Ballontekst">
    <w:name w:val="Balloon Text"/>
    <w:basedOn w:val="Standaard"/>
    <w:link w:val="BallontekstChar"/>
    <w:uiPriority w:val="99"/>
    <w:semiHidden/>
    <w:unhideWhenUsed/>
    <w:rsid w:val="0063745B"/>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374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439</Words>
  <Characters>2420</Characters>
  <Application>Microsoft Office Word</Application>
  <DocSecurity>0</DocSecurity>
  <Lines>20</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Natasja Kraft</dc:creator>
  <cp:keywords/>
  <dc:description/>
  <cp:lastModifiedBy>Natasja Kraft</cp:lastModifiedBy>
  <cp:revision>2</cp:revision>
  <dcterms:created xsi:type="dcterms:W3CDTF">2020-11-30T09:28:00Z</dcterms:created>
  <dcterms:modified xsi:type="dcterms:W3CDTF">2020-11-30T09:28:00Z</dcterms:modified>
</cp:coreProperties>
</file>